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2820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2093"/>
        <w:gridCol w:w="2580"/>
        <w:gridCol w:w="2268"/>
        <w:gridCol w:w="2409"/>
        <w:gridCol w:w="1560"/>
        <w:gridCol w:w="1910"/>
      </w:tblGrid>
      <w:tr w:rsidR="00402445" w:rsidRPr="00270FB1" w14:paraId="54867886" w14:textId="77777777" w:rsidTr="00402445">
        <w:trPr>
          <w:trHeight w:val="746"/>
        </w:trPr>
        <w:tc>
          <w:tcPr>
            <w:tcW w:w="2093" w:type="dxa"/>
            <w:shd w:val="clear" w:color="auto" w:fill="00B0F0"/>
          </w:tcPr>
          <w:p w14:paraId="34A896AB" w14:textId="77777777" w:rsidR="00402445" w:rsidRPr="005A6947" w:rsidRDefault="00402445" w:rsidP="009E5663">
            <w:r w:rsidRPr="005A6947">
              <w:t>Onderwerp</w:t>
            </w:r>
          </w:p>
        </w:tc>
        <w:tc>
          <w:tcPr>
            <w:tcW w:w="2580" w:type="dxa"/>
            <w:shd w:val="clear" w:color="auto" w:fill="00B0F0"/>
          </w:tcPr>
          <w:p w14:paraId="0D4FE4D6" w14:textId="77777777" w:rsidR="00402445" w:rsidRPr="005A6947" w:rsidRDefault="00402445" w:rsidP="009E5663">
            <w:r w:rsidRPr="005A6947">
              <w:t>Doel</w:t>
            </w:r>
          </w:p>
        </w:tc>
        <w:tc>
          <w:tcPr>
            <w:tcW w:w="2268" w:type="dxa"/>
            <w:shd w:val="clear" w:color="auto" w:fill="00B0F0"/>
          </w:tcPr>
          <w:p w14:paraId="2CA2BAC8" w14:textId="77777777" w:rsidR="00402445" w:rsidRPr="005A6947" w:rsidRDefault="00402445" w:rsidP="009E5663">
            <w:bookmarkStart w:id="0" w:name="_GoBack"/>
            <w:bookmarkEnd w:id="0"/>
            <w:r w:rsidRPr="005A6947">
              <w:t>Hoe</w:t>
            </w:r>
          </w:p>
        </w:tc>
        <w:tc>
          <w:tcPr>
            <w:tcW w:w="2409" w:type="dxa"/>
            <w:shd w:val="clear" w:color="auto" w:fill="00B0F0"/>
          </w:tcPr>
          <w:p w14:paraId="303FC546" w14:textId="77777777" w:rsidR="00402445" w:rsidRPr="005A6947" w:rsidRDefault="00402445" w:rsidP="009E5663">
            <w:r w:rsidRPr="005A6947">
              <w:t>Wanneer</w:t>
            </w:r>
          </w:p>
        </w:tc>
        <w:tc>
          <w:tcPr>
            <w:tcW w:w="1560" w:type="dxa"/>
            <w:shd w:val="clear" w:color="auto" w:fill="00B0F0"/>
          </w:tcPr>
          <w:p w14:paraId="517E2CD0" w14:textId="77777777" w:rsidR="00402445" w:rsidRPr="00E14F1E" w:rsidRDefault="00402445" w:rsidP="00E14F1E">
            <w:pPr>
              <w:rPr>
                <w:sz w:val="18"/>
                <w:szCs w:val="18"/>
              </w:rPr>
            </w:pPr>
            <w:r w:rsidRPr="00E14F1E">
              <w:rPr>
                <w:sz w:val="18"/>
                <w:szCs w:val="18"/>
              </w:rPr>
              <w:t xml:space="preserve">Tussen evaluatie </w:t>
            </w:r>
          </w:p>
        </w:tc>
        <w:tc>
          <w:tcPr>
            <w:tcW w:w="1910" w:type="dxa"/>
            <w:shd w:val="clear" w:color="auto" w:fill="00B0F0"/>
          </w:tcPr>
          <w:p w14:paraId="4D681A07" w14:textId="77777777" w:rsidR="00402445" w:rsidRDefault="00402445" w:rsidP="00E14F1E">
            <w:r>
              <w:t>Eind e</w:t>
            </w:r>
            <w:r w:rsidRPr="005A6947">
              <w:t xml:space="preserve">valuatie </w:t>
            </w:r>
          </w:p>
        </w:tc>
      </w:tr>
      <w:tr w:rsidR="00402445" w:rsidRPr="00270FB1" w14:paraId="64076859" w14:textId="77777777" w:rsidTr="00402445">
        <w:tc>
          <w:tcPr>
            <w:tcW w:w="2093" w:type="dxa"/>
            <w:shd w:val="clear" w:color="auto" w:fill="DEEAF6" w:themeFill="accent1" w:themeFillTint="33"/>
          </w:tcPr>
          <w:p w14:paraId="5A5F369A" w14:textId="77777777" w:rsidR="00402445" w:rsidRDefault="00402445" w:rsidP="00FD7CBF">
            <w:r>
              <w:t>Didactisch</w:t>
            </w:r>
          </w:p>
        </w:tc>
        <w:tc>
          <w:tcPr>
            <w:tcW w:w="2580" w:type="dxa"/>
            <w:shd w:val="clear" w:color="auto" w:fill="DEEAF6" w:themeFill="accent1" w:themeFillTint="33"/>
          </w:tcPr>
          <w:p w14:paraId="672A6659" w14:textId="77777777" w:rsidR="00402445" w:rsidRDefault="00402445" w:rsidP="00FD7CBF"/>
        </w:tc>
        <w:tc>
          <w:tcPr>
            <w:tcW w:w="2268" w:type="dxa"/>
            <w:shd w:val="clear" w:color="auto" w:fill="DEEAF6" w:themeFill="accent1" w:themeFillTint="33"/>
          </w:tcPr>
          <w:p w14:paraId="5DAB6C7B" w14:textId="77777777" w:rsidR="00402445" w:rsidRDefault="00402445" w:rsidP="00FD7CBF"/>
        </w:tc>
        <w:tc>
          <w:tcPr>
            <w:tcW w:w="2409" w:type="dxa"/>
            <w:shd w:val="clear" w:color="auto" w:fill="DEEAF6" w:themeFill="accent1" w:themeFillTint="33"/>
          </w:tcPr>
          <w:p w14:paraId="02EB378F" w14:textId="77777777" w:rsidR="00402445" w:rsidRDefault="00402445" w:rsidP="00FD7CBF"/>
        </w:tc>
        <w:tc>
          <w:tcPr>
            <w:tcW w:w="1560" w:type="dxa"/>
            <w:shd w:val="clear" w:color="auto" w:fill="DEEAF6" w:themeFill="accent1" w:themeFillTint="33"/>
          </w:tcPr>
          <w:p w14:paraId="6A05A809" w14:textId="77777777" w:rsidR="00402445" w:rsidRPr="00270FB1" w:rsidRDefault="00402445" w:rsidP="00FD7CBF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DEEAF6" w:themeFill="accent1" w:themeFillTint="33"/>
          </w:tcPr>
          <w:p w14:paraId="5A39BBE3" w14:textId="77777777" w:rsidR="00402445" w:rsidRPr="00270FB1" w:rsidRDefault="00402445" w:rsidP="00FD7CBF">
            <w:pPr>
              <w:rPr>
                <w:sz w:val="20"/>
                <w:szCs w:val="20"/>
              </w:rPr>
            </w:pPr>
          </w:p>
        </w:tc>
      </w:tr>
      <w:tr w:rsidR="00402445" w:rsidRPr="00270FB1" w14:paraId="75B0082B" w14:textId="77777777" w:rsidTr="00402445">
        <w:tc>
          <w:tcPr>
            <w:tcW w:w="2093" w:type="dxa"/>
            <w:shd w:val="clear" w:color="auto" w:fill="auto"/>
          </w:tcPr>
          <w:p w14:paraId="261C3E6C" w14:textId="7F70AABB" w:rsidR="00402445" w:rsidRDefault="00402445" w:rsidP="00E14F1E"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6AA5644D" w14:textId="7F9E96C6" w:rsidR="00402445" w:rsidRDefault="00402445" w:rsidP="00E14F1E">
            <w:r>
              <w:t>Het leren ontwerpen van een goed doordachte les, aansluitend bij de doelgroep van de ENB.</w:t>
            </w:r>
          </w:p>
          <w:p w14:paraId="6C257E94" w14:textId="1C9BF1FA" w:rsidR="00402445" w:rsidRDefault="00402445" w:rsidP="28821090">
            <w:r>
              <w:t xml:space="preserve">Het in gesprek zijn met elkaar als team over didactisch handelen en onderwijsinhoud. </w:t>
            </w:r>
          </w:p>
        </w:tc>
        <w:tc>
          <w:tcPr>
            <w:tcW w:w="2268" w:type="dxa"/>
            <w:shd w:val="clear" w:color="auto" w:fill="auto"/>
          </w:tcPr>
          <w:p w14:paraId="562F988D" w14:textId="4BA62783" w:rsidR="00402445" w:rsidRDefault="00402445" w:rsidP="00E14F1E">
            <w:r>
              <w:t xml:space="preserve">Startbijeenkomst geweest. </w:t>
            </w:r>
          </w:p>
          <w:p w14:paraId="63D514BC" w14:textId="77DF6479" w:rsidR="00402445" w:rsidRDefault="00402445" w:rsidP="28821090">
            <w:r>
              <w:t xml:space="preserve">Team ontwerpt in duo’s de lessen, ondersteunt door specialisten. </w:t>
            </w:r>
          </w:p>
          <w:p w14:paraId="15792CEE" w14:textId="5BB84B36" w:rsidR="00402445" w:rsidRDefault="00402445" w:rsidP="28821090">
            <w:r>
              <w:t xml:space="preserve">Lessen worden gegeven,  bekeken en geëvalueerd. </w:t>
            </w:r>
          </w:p>
          <w:p w14:paraId="41C8F396" w14:textId="737C490E" w:rsidR="00402445" w:rsidRDefault="00402445" w:rsidP="28821090">
            <w:r>
              <w:t xml:space="preserve">Opbrengsten in team gedeeld. </w:t>
            </w:r>
          </w:p>
        </w:tc>
        <w:tc>
          <w:tcPr>
            <w:tcW w:w="2409" w:type="dxa"/>
            <w:shd w:val="clear" w:color="auto" w:fill="auto"/>
          </w:tcPr>
          <w:p w14:paraId="15EB8779" w14:textId="3B9027ED" w:rsidR="00402445" w:rsidRDefault="00402445">
            <w:r>
              <w:t>Start april 2019 studiedag</w:t>
            </w:r>
          </w:p>
          <w:p w14:paraId="57020ACF" w14:textId="5639418C" w:rsidR="00402445" w:rsidRDefault="00402445" w:rsidP="00E14F1E">
            <w:r>
              <w:t xml:space="preserve">Eerste kwartaal schooljaar 2019-2020 uitvoeren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  <w:p w14:paraId="425FA626" w14:textId="057E6BD6" w:rsidR="00402445" w:rsidRDefault="00402445" w:rsidP="28821090">
            <w:r>
              <w:t>Terugkoppeling eerste helft 20 november 2019 studiedag</w:t>
            </w:r>
          </w:p>
        </w:tc>
        <w:tc>
          <w:tcPr>
            <w:tcW w:w="1560" w:type="dxa"/>
            <w:shd w:val="clear" w:color="auto" w:fill="auto"/>
          </w:tcPr>
          <w:p w14:paraId="72A3D3EC" w14:textId="77777777" w:rsidR="00402445" w:rsidRPr="00270FB1" w:rsidRDefault="00402445" w:rsidP="00E14F1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0D0B940D" w14:textId="77777777" w:rsidR="00402445" w:rsidRPr="00270FB1" w:rsidRDefault="00402445" w:rsidP="00E14F1E">
            <w:pPr>
              <w:rPr>
                <w:sz w:val="20"/>
                <w:szCs w:val="20"/>
              </w:rPr>
            </w:pPr>
          </w:p>
        </w:tc>
      </w:tr>
      <w:tr w:rsidR="00402445" w:rsidRPr="00270FB1" w14:paraId="68A5C194" w14:textId="77777777" w:rsidTr="00402445">
        <w:tc>
          <w:tcPr>
            <w:tcW w:w="2093" w:type="dxa"/>
            <w:shd w:val="clear" w:color="auto" w:fill="auto"/>
          </w:tcPr>
          <w:p w14:paraId="01218532" w14:textId="79C86BBC" w:rsidR="00402445" w:rsidRDefault="00402445" w:rsidP="00E14F1E">
            <w:r>
              <w:t>Coöperatief Werken</w:t>
            </w:r>
          </w:p>
        </w:tc>
        <w:tc>
          <w:tcPr>
            <w:tcW w:w="2580" w:type="dxa"/>
            <w:shd w:val="clear" w:color="auto" w:fill="auto"/>
          </w:tcPr>
          <w:p w14:paraId="22C3BC2E" w14:textId="77777777" w:rsidR="00402445" w:rsidRDefault="00402445" w:rsidP="00E14F1E">
            <w:r>
              <w:t xml:space="preserve">In alle groepen worden </w:t>
            </w:r>
            <w:proofErr w:type="spellStart"/>
            <w:r>
              <w:t>cooperatieve</w:t>
            </w:r>
            <w:proofErr w:type="spellEnd"/>
            <w:r>
              <w:t xml:space="preserve"> werkvormen ingezet </w:t>
            </w:r>
            <w:proofErr w:type="spellStart"/>
            <w:r>
              <w:t>t.b.v</w:t>
            </w:r>
            <w:proofErr w:type="spellEnd"/>
            <w:r>
              <w:t xml:space="preserve"> het bevorderen van </w:t>
            </w:r>
            <w:proofErr w:type="spellStart"/>
            <w:r>
              <w:t>zelstandigheid</w:t>
            </w:r>
            <w:proofErr w:type="spellEnd"/>
            <w:r>
              <w:t xml:space="preserve">, samenwerken en het beter beklijven van de leerstof. </w:t>
            </w:r>
          </w:p>
        </w:tc>
        <w:tc>
          <w:tcPr>
            <w:tcW w:w="2268" w:type="dxa"/>
            <w:shd w:val="clear" w:color="auto" w:fill="auto"/>
          </w:tcPr>
          <w:p w14:paraId="7FEBD73F" w14:textId="77777777" w:rsidR="00402445" w:rsidRDefault="00402445" w:rsidP="00CB7E5A">
            <w:pPr>
              <w:pStyle w:val="Geenafstand"/>
            </w:pPr>
            <w:r>
              <w:t>Studie (</w:t>
            </w:r>
            <w:proofErr w:type="spellStart"/>
            <w:r>
              <w:t>mid</w:t>
            </w:r>
            <w:proofErr w:type="spellEnd"/>
            <w:r>
              <w:t>)dagen</w:t>
            </w:r>
          </w:p>
          <w:p w14:paraId="2503A553" w14:textId="77777777" w:rsidR="00402445" w:rsidRDefault="00402445" w:rsidP="00CB7E5A">
            <w:pPr>
              <w:pStyle w:val="Geenafstand"/>
            </w:pPr>
            <w:r>
              <w:t>Experimenteren in de klas</w:t>
            </w:r>
          </w:p>
          <w:p w14:paraId="7640903B" w14:textId="77777777" w:rsidR="00402445" w:rsidRDefault="00402445" w:rsidP="00CB7E5A">
            <w:pPr>
              <w:pStyle w:val="Geenafstand"/>
            </w:pPr>
            <w:r>
              <w:t>Klassenbezoeken</w:t>
            </w:r>
          </w:p>
        </w:tc>
        <w:tc>
          <w:tcPr>
            <w:tcW w:w="2409" w:type="dxa"/>
            <w:shd w:val="clear" w:color="auto" w:fill="auto"/>
          </w:tcPr>
          <w:p w14:paraId="4D657B8A" w14:textId="67432A01" w:rsidR="00402445" w:rsidRDefault="00402445" w:rsidP="00E14F1E">
            <w:r>
              <w:t>Start januari 2020</w:t>
            </w:r>
          </w:p>
          <w:p w14:paraId="68E4E194" w14:textId="11DFC433" w:rsidR="00402445" w:rsidRDefault="00402445" w:rsidP="28821090">
            <w:r>
              <w:t>Studiedag 23-01-2020</w:t>
            </w:r>
          </w:p>
          <w:p w14:paraId="20CB2A75" w14:textId="7A2BDD9D" w:rsidR="00402445" w:rsidRDefault="00402445" w:rsidP="28821090">
            <w:r>
              <w:t>Studiemiddag 01-03-2020</w:t>
            </w:r>
          </w:p>
          <w:p w14:paraId="31058608" w14:textId="1740EA0F" w:rsidR="00402445" w:rsidRDefault="00402445" w:rsidP="28821090">
            <w:proofErr w:type="spellStart"/>
            <w:r>
              <w:t>Studiedmiddag</w:t>
            </w:r>
            <w:proofErr w:type="spellEnd"/>
            <w:r>
              <w:t xml:space="preserve"> 22-04-2020</w:t>
            </w:r>
          </w:p>
          <w:p w14:paraId="7313DAB2" w14:textId="2A506F69" w:rsidR="00402445" w:rsidRDefault="00402445" w:rsidP="28821090"/>
        </w:tc>
        <w:tc>
          <w:tcPr>
            <w:tcW w:w="1560" w:type="dxa"/>
            <w:shd w:val="clear" w:color="auto" w:fill="auto"/>
          </w:tcPr>
          <w:p w14:paraId="0E27B00A" w14:textId="77777777" w:rsidR="00402445" w:rsidRPr="00270FB1" w:rsidRDefault="00402445" w:rsidP="00E14F1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60061E4C" w14:textId="77777777" w:rsidR="00402445" w:rsidRPr="00270FB1" w:rsidRDefault="00402445" w:rsidP="00E14F1E">
            <w:pPr>
              <w:rPr>
                <w:sz w:val="20"/>
                <w:szCs w:val="20"/>
              </w:rPr>
            </w:pPr>
          </w:p>
        </w:tc>
      </w:tr>
      <w:tr w:rsidR="00402445" w:rsidRPr="00270FB1" w14:paraId="0B0BBC77" w14:textId="77777777" w:rsidTr="00402445">
        <w:tc>
          <w:tcPr>
            <w:tcW w:w="2093" w:type="dxa"/>
            <w:shd w:val="clear" w:color="auto" w:fill="auto"/>
          </w:tcPr>
          <w:p w14:paraId="57FDD127" w14:textId="6A09315B" w:rsidR="00402445" w:rsidRDefault="00402445" w:rsidP="00E14F1E">
            <w:r>
              <w:lastRenderedPageBreak/>
              <w:t>Formuleren visie op didactisch handelen</w:t>
            </w:r>
          </w:p>
        </w:tc>
        <w:tc>
          <w:tcPr>
            <w:tcW w:w="2580" w:type="dxa"/>
            <w:shd w:val="clear" w:color="auto" w:fill="auto"/>
          </w:tcPr>
          <w:p w14:paraId="5EAE9F8B" w14:textId="7C6FCB7D" w:rsidR="00402445" w:rsidRDefault="00402445" w:rsidP="00E14F1E">
            <w:r>
              <w:t xml:space="preserve">De ENB heeft een duidelijke visie op didactisch handelen voor leerlingen met autisme en aanverwante psychiatrische problematiek en handelt hiernaar. </w:t>
            </w:r>
          </w:p>
        </w:tc>
        <w:tc>
          <w:tcPr>
            <w:tcW w:w="2268" w:type="dxa"/>
            <w:shd w:val="clear" w:color="auto" w:fill="auto"/>
          </w:tcPr>
          <w:p w14:paraId="069DCC5A" w14:textId="5E16FD36" w:rsidR="00402445" w:rsidRDefault="00402445" w:rsidP="00E14F1E">
            <w:r>
              <w:t xml:space="preserve">Door het schooljaar heen wordt het gesprek over didactisch handelen gevoerd, zowel in de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als bij het coöperatief werken. Vanuit deze gesprekken wordt aan het einde van het schooljaar een visie op didactisch handelen geformuleerd en in schooljaar 2020-2021 verder praktisch uitgewerkt. </w:t>
            </w:r>
          </w:p>
        </w:tc>
        <w:tc>
          <w:tcPr>
            <w:tcW w:w="2409" w:type="dxa"/>
            <w:shd w:val="clear" w:color="auto" w:fill="auto"/>
          </w:tcPr>
          <w:p w14:paraId="7D7D0F63" w14:textId="1FBA48FA" w:rsidR="00402445" w:rsidRDefault="00402445" w:rsidP="00E14F1E">
            <w:r>
              <w:t>Afsluiting woensdag 20-05-2019</w:t>
            </w:r>
          </w:p>
        </w:tc>
        <w:tc>
          <w:tcPr>
            <w:tcW w:w="1560" w:type="dxa"/>
            <w:shd w:val="clear" w:color="auto" w:fill="auto"/>
          </w:tcPr>
          <w:p w14:paraId="44EAFD9C" w14:textId="77777777" w:rsidR="00402445" w:rsidRPr="00270FB1" w:rsidRDefault="00402445" w:rsidP="00E14F1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4B94D5A5" w14:textId="77777777" w:rsidR="00402445" w:rsidRPr="00270FB1" w:rsidRDefault="00402445" w:rsidP="00E14F1E">
            <w:pPr>
              <w:rPr>
                <w:sz w:val="20"/>
                <w:szCs w:val="20"/>
              </w:rPr>
            </w:pPr>
          </w:p>
        </w:tc>
      </w:tr>
      <w:tr w:rsidR="00402445" w:rsidRPr="00270FB1" w14:paraId="2829D704" w14:textId="77777777" w:rsidTr="00402445">
        <w:tc>
          <w:tcPr>
            <w:tcW w:w="2093" w:type="dxa"/>
            <w:shd w:val="clear" w:color="auto" w:fill="auto"/>
          </w:tcPr>
          <w:p w14:paraId="4B102E03" w14:textId="75CDB4F8" w:rsidR="00402445" w:rsidRDefault="00402445" w:rsidP="00E14F1E">
            <w:r>
              <w:t>Lesaanbod aanpassen aan uitstroomniveau</w:t>
            </w:r>
          </w:p>
        </w:tc>
        <w:tc>
          <w:tcPr>
            <w:tcW w:w="2580" w:type="dxa"/>
            <w:shd w:val="clear" w:color="auto" w:fill="auto"/>
          </w:tcPr>
          <w:p w14:paraId="592E8368" w14:textId="37C2187B" w:rsidR="00402445" w:rsidRDefault="00402445" w:rsidP="28821090">
            <w:pPr>
              <w:spacing w:after="120" w:line="264" w:lineRule="auto"/>
              <w:rPr>
                <w:rFonts w:ascii="Calibri" w:eastAsia="Calibri" w:hAnsi="Calibri" w:cs="Calibri"/>
              </w:rPr>
            </w:pPr>
            <w:r w:rsidRPr="28821090">
              <w:rPr>
                <w:rFonts w:ascii="Calibri" w:eastAsia="Calibri" w:hAnsi="Calibri" w:cs="Calibri"/>
              </w:rPr>
              <w:t>Op de ENB is het didactisch aanbod aangepast aan het uitstroomprofiel van de leerling.</w:t>
            </w:r>
          </w:p>
          <w:p w14:paraId="3DEEC669" w14:textId="4F817200" w:rsidR="00402445" w:rsidRDefault="00402445" w:rsidP="28821090"/>
        </w:tc>
        <w:tc>
          <w:tcPr>
            <w:tcW w:w="2268" w:type="dxa"/>
            <w:shd w:val="clear" w:color="auto" w:fill="auto"/>
          </w:tcPr>
          <w:p w14:paraId="29225043" w14:textId="090F6FEB" w:rsidR="00402445" w:rsidRDefault="00402445" w:rsidP="00E14F1E">
            <w:r>
              <w:t xml:space="preserve">Start met werken met jaargroepen ingedeeld op didactisch niveau vanaf groep 6. </w:t>
            </w:r>
          </w:p>
          <w:p w14:paraId="45FB0818" w14:textId="51C9F4AB" w:rsidR="00402445" w:rsidRDefault="00402445" w:rsidP="28821090">
            <w:r>
              <w:t xml:space="preserve">IB werkt samen met de groep een passend lesprogramma uit voor de leerlingen de onder het niveau van de reguliere jaargroep uitstromen. </w:t>
            </w:r>
          </w:p>
        </w:tc>
        <w:tc>
          <w:tcPr>
            <w:tcW w:w="2409" w:type="dxa"/>
            <w:shd w:val="clear" w:color="auto" w:fill="auto"/>
          </w:tcPr>
          <w:p w14:paraId="049F31CB" w14:textId="04DC7106" w:rsidR="00402445" w:rsidRDefault="00402445" w:rsidP="00E14F1E">
            <w:r>
              <w:t>2019-2020</w:t>
            </w:r>
          </w:p>
        </w:tc>
        <w:tc>
          <w:tcPr>
            <w:tcW w:w="1560" w:type="dxa"/>
            <w:shd w:val="clear" w:color="auto" w:fill="auto"/>
          </w:tcPr>
          <w:p w14:paraId="53128261" w14:textId="77777777" w:rsidR="00402445" w:rsidRPr="00270FB1" w:rsidRDefault="00402445" w:rsidP="00E14F1E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62486C05" w14:textId="77777777" w:rsidR="00402445" w:rsidRPr="00270FB1" w:rsidRDefault="00402445" w:rsidP="00E14F1E">
            <w:pPr>
              <w:rPr>
                <w:sz w:val="20"/>
                <w:szCs w:val="20"/>
              </w:rPr>
            </w:pPr>
          </w:p>
        </w:tc>
      </w:tr>
      <w:tr w:rsidR="00402445" w:rsidRPr="00270FB1" w14:paraId="177F1E69" w14:textId="77777777" w:rsidTr="00402445">
        <w:tc>
          <w:tcPr>
            <w:tcW w:w="2093" w:type="dxa"/>
            <w:shd w:val="clear" w:color="auto" w:fill="auto"/>
          </w:tcPr>
          <w:p w14:paraId="5268536A" w14:textId="3ECE1E2E" w:rsidR="00402445" w:rsidRDefault="00402445" w:rsidP="00493C2C">
            <w:r>
              <w:lastRenderedPageBreak/>
              <w:t xml:space="preserve">Nieuwe methode </w:t>
            </w:r>
            <w:proofErr w:type="spellStart"/>
            <w:r>
              <w:t>wereldorientatie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70DFD8F9" w14:textId="68110000" w:rsidR="00402445" w:rsidRDefault="00402445" w:rsidP="00493C2C">
            <w:pPr>
              <w:pStyle w:val="Geenafstand"/>
            </w:pPr>
            <w:r>
              <w:t xml:space="preserve">Op de ENB wordt gewerkt vanuit een nieuwe methode voor </w:t>
            </w:r>
            <w:proofErr w:type="spellStart"/>
            <w:r>
              <w:t>wereldorientatie</w:t>
            </w:r>
            <w:proofErr w:type="spellEnd"/>
            <w: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55029C34" w14:textId="52B297A0" w:rsidR="00402445" w:rsidRDefault="00402445" w:rsidP="00493C2C">
            <w:r>
              <w:t xml:space="preserve">Er worden twee methodes uitgeprobeerd in twee periodes van drie maanden. Na de laatste periode wordt een keuze gemaakt. </w:t>
            </w:r>
          </w:p>
        </w:tc>
        <w:tc>
          <w:tcPr>
            <w:tcW w:w="2409" w:type="dxa"/>
            <w:shd w:val="clear" w:color="auto" w:fill="auto"/>
          </w:tcPr>
          <w:p w14:paraId="17C2272B" w14:textId="590FEB7E" w:rsidR="00402445" w:rsidRDefault="00402445" w:rsidP="00493C2C">
            <w:r>
              <w:t>Start 5 juli 2019</w:t>
            </w:r>
          </w:p>
          <w:p w14:paraId="48BC7EE3" w14:textId="172770A3" w:rsidR="00402445" w:rsidRDefault="00402445" w:rsidP="41D0F0C8">
            <w:r>
              <w:t>Periode 1:</w:t>
            </w:r>
          </w:p>
          <w:p w14:paraId="11F9BF63" w14:textId="5D748DD2" w:rsidR="00402445" w:rsidRDefault="00402445" w:rsidP="41D0F0C8">
            <w:r>
              <w:t>September tot december 2019</w:t>
            </w:r>
          </w:p>
          <w:p w14:paraId="7A8D8F34" w14:textId="38AA48AE" w:rsidR="00402445" w:rsidRDefault="00402445" w:rsidP="41D0F0C8">
            <w:r>
              <w:t>Periode 2:</w:t>
            </w:r>
          </w:p>
          <w:p w14:paraId="4B360B2E" w14:textId="67161CC7" w:rsidR="00402445" w:rsidRDefault="00402445" w:rsidP="41D0F0C8">
            <w:r>
              <w:t>Januari tot april 2020</w:t>
            </w:r>
          </w:p>
          <w:p w14:paraId="61215E39" w14:textId="7EDAE7C3" w:rsidR="00402445" w:rsidRDefault="00402445" w:rsidP="41D0F0C8">
            <w:r>
              <w:t xml:space="preserve">Beslissing teamvergadering april 2020 </w:t>
            </w:r>
          </w:p>
        </w:tc>
        <w:tc>
          <w:tcPr>
            <w:tcW w:w="1560" w:type="dxa"/>
            <w:shd w:val="clear" w:color="auto" w:fill="auto"/>
          </w:tcPr>
          <w:p w14:paraId="4101652C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4B99056E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57828F5E" w14:textId="77777777" w:rsidTr="00402445">
        <w:tc>
          <w:tcPr>
            <w:tcW w:w="2093" w:type="dxa"/>
            <w:shd w:val="clear" w:color="auto" w:fill="auto"/>
          </w:tcPr>
          <w:p w14:paraId="79235CBD" w14:textId="19132439" w:rsidR="00402445" w:rsidRDefault="00402445" w:rsidP="00493C2C">
            <w:proofErr w:type="spellStart"/>
            <w:r>
              <w:t>Toetsprotocol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70712A76" w14:textId="0B264BF2" w:rsidR="00402445" w:rsidRDefault="00402445" w:rsidP="00493C2C">
            <w:pPr>
              <w:pStyle w:val="Geenafstand"/>
            </w:pPr>
            <w:r>
              <w:t xml:space="preserve">Er is in samenwerking met het HCO een </w:t>
            </w:r>
            <w:proofErr w:type="spellStart"/>
            <w:r>
              <w:t>toetsprotocol</w:t>
            </w:r>
            <w:proofErr w:type="spellEnd"/>
            <w:r>
              <w:t xml:space="preserve"> ontwikkeld. Het team kent dit protocol en werkt hiermee. </w:t>
            </w:r>
          </w:p>
        </w:tc>
        <w:tc>
          <w:tcPr>
            <w:tcW w:w="2268" w:type="dxa"/>
            <w:shd w:val="clear" w:color="auto" w:fill="auto"/>
          </w:tcPr>
          <w:p w14:paraId="7D7D1082" w14:textId="180B41F5" w:rsidR="00402445" w:rsidRDefault="00402445" w:rsidP="00513357">
            <w:r>
              <w:t xml:space="preserve">Het </w:t>
            </w:r>
            <w:proofErr w:type="spellStart"/>
            <w:r>
              <w:t>toetsprotocol</w:t>
            </w:r>
            <w:proofErr w:type="spellEnd"/>
            <w:r>
              <w:t xml:space="preserve"> wordt afgerond en gedeeld met het team. Het </w:t>
            </w:r>
            <w:proofErr w:type="spellStart"/>
            <w:r>
              <w:t>toetsprotocol</w:t>
            </w:r>
            <w:proofErr w:type="spellEnd"/>
            <w:r>
              <w:t xml:space="preserve"> wordt uitgevoerd door de leerkrachten en IB&gt;.</w:t>
            </w:r>
          </w:p>
        </w:tc>
        <w:tc>
          <w:tcPr>
            <w:tcW w:w="2409" w:type="dxa"/>
            <w:shd w:val="clear" w:color="auto" w:fill="auto"/>
          </w:tcPr>
          <w:p w14:paraId="3523A275" w14:textId="0F289B1F" w:rsidR="00402445" w:rsidRDefault="00402445" w:rsidP="00493C2C"/>
        </w:tc>
        <w:tc>
          <w:tcPr>
            <w:tcW w:w="1560" w:type="dxa"/>
            <w:shd w:val="clear" w:color="auto" w:fill="auto"/>
          </w:tcPr>
          <w:p w14:paraId="1299C43A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4DDBEF00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7D415EAA" w14:textId="77777777" w:rsidTr="00402445">
        <w:tc>
          <w:tcPr>
            <w:tcW w:w="2093" w:type="dxa"/>
            <w:shd w:val="clear" w:color="auto" w:fill="auto"/>
          </w:tcPr>
          <w:p w14:paraId="4F6BD913" w14:textId="3E4B8EF4" w:rsidR="00402445" w:rsidRDefault="00402445" w:rsidP="00493C2C">
            <w:r>
              <w:t>Dyslexieprotocol</w:t>
            </w:r>
          </w:p>
        </w:tc>
        <w:tc>
          <w:tcPr>
            <w:tcW w:w="2580" w:type="dxa"/>
            <w:shd w:val="clear" w:color="auto" w:fill="auto"/>
          </w:tcPr>
          <w:p w14:paraId="6DA23050" w14:textId="5F0B82B3" w:rsidR="00402445" w:rsidRDefault="00402445" w:rsidP="00493C2C">
            <w:pPr>
              <w:pStyle w:val="Geenafstand"/>
            </w:pPr>
            <w:r>
              <w:t xml:space="preserve">De gemaakte afspraken en aanpassingen m.b.t. lezen van schooljaar 2018-2019 moeten in 2019-2020 uitgevoerd en geborgd worden. </w:t>
            </w:r>
          </w:p>
          <w:p w14:paraId="6FD46903" w14:textId="5B2EC032" w:rsidR="00402445" w:rsidRDefault="00402445" w:rsidP="00493C2C">
            <w:pPr>
              <w:pStyle w:val="Geenafstand"/>
            </w:pPr>
            <w:r>
              <w:t xml:space="preserve">Het dyslexieprotocol m.b.t. spelling en voert dit ook uit. </w:t>
            </w:r>
          </w:p>
          <w:p w14:paraId="56FA9752" w14:textId="453D0708" w:rsidR="00402445" w:rsidRDefault="00402445" w:rsidP="00493C2C">
            <w:pPr>
              <w:pStyle w:val="Geenafstand"/>
            </w:pPr>
            <w:r>
              <w:lastRenderedPageBreak/>
              <w:t xml:space="preserve">Er is een verkort ‘zo werken wij’ document m.b.t. dyslexie. </w:t>
            </w:r>
          </w:p>
        </w:tc>
        <w:tc>
          <w:tcPr>
            <w:tcW w:w="2268" w:type="dxa"/>
            <w:shd w:val="clear" w:color="auto" w:fill="auto"/>
          </w:tcPr>
          <w:p w14:paraId="5EA83D80" w14:textId="6708062F" w:rsidR="00402445" w:rsidRDefault="00402445" w:rsidP="00513357">
            <w:r>
              <w:lastRenderedPageBreak/>
              <w:t xml:space="preserve">Het dyslexieprotocol wordt uitgevoerd en geborgd. </w:t>
            </w:r>
          </w:p>
          <w:p w14:paraId="3093B24F" w14:textId="658FC6AD" w:rsidR="00402445" w:rsidRDefault="00402445" w:rsidP="06C2E65D">
            <w:r>
              <w:t xml:space="preserve">Het spellingsprotocol wordt opgesteld. </w:t>
            </w:r>
          </w:p>
        </w:tc>
        <w:tc>
          <w:tcPr>
            <w:tcW w:w="2409" w:type="dxa"/>
            <w:shd w:val="clear" w:color="auto" w:fill="auto"/>
          </w:tcPr>
          <w:p w14:paraId="09E92C73" w14:textId="26F05EA6" w:rsidR="00402445" w:rsidRDefault="00402445" w:rsidP="00493C2C"/>
        </w:tc>
        <w:tc>
          <w:tcPr>
            <w:tcW w:w="1560" w:type="dxa"/>
            <w:shd w:val="clear" w:color="auto" w:fill="auto"/>
          </w:tcPr>
          <w:p w14:paraId="3461D779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3CF2D8B6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14:paraId="01EECB5C" w14:textId="77777777" w:rsidTr="00402445">
        <w:tc>
          <w:tcPr>
            <w:tcW w:w="2093" w:type="dxa"/>
            <w:shd w:val="clear" w:color="auto" w:fill="auto"/>
          </w:tcPr>
          <w:p w14:paraId="6046B1E0" w14:textId="46A8875D" w:rsidR="00402445" w:rsidRDefault="00402445" w:rsidP="06C2E65D">
            <w:r>
              <w:t>Meldcode Kindermishandeling</w:t>
            </w:r>
          </w:p>
        </w:tc>
        <w:tc>
          <w:tcPr>
            <w:tcW w:w="2580" w:type="dxa"/>
            <w:shd w:val="clear" w:color="auto" w:fill="auto"/>
          </w:tcPr>
          <w:p w14:paraId="4A99277E" w14:textId="0F7DCA05" w:rsidR="00402445" w:rsidRDefault="00402445" w:rsidP="06C2E65D">
            <w:pPr>
              <w:pStyle w:val="Geenafstand"/>
            </w:pPr>
            <w:r>
              <w:t>Het team is op de hoogte van de uitvoering van de meldcode op de ENB.</w:t>
            </w:r>
          </w:p>
          <w:p w14:paraId="3DE2798D" w14:textId="4A0EFA0A" w:rsidR="00402445" w:rsidRDefault="00402445" w:rsidP="06C2E65D">
            <w:pPr>
              <w:pStyle w:val="Geenafstand"/>
            </w:pPr>
            <w:r>
              <w:t xml:space="preserve">Het team krijgt de kans om een online training te volgen m.b.t. het herkennen van de signalen. Binnen drie jaar is het gehele team van de ENB getraind. </w:t>
            </w:r>
          </w:p>
        </w:tc>
        <w:tc>
          <w:tcPr>
            <w:tcW w:w="2268" w:type="dxa"/>
            <w:shd w:val="clear" w:color="auto" w:fill="auto"/>
          </w:tcPr>
          <w:p w14:paraId="61F903A0" w14:textId="1FB4C463" w:rsidR="00402445" w:rsidRDefault="00402445" w:rsidP="06C2E65D">
            <w:r>
              <w:t xml:space="preserve">Presentatie in teamvergadering en facultatief opgeven voor de online training. </w:t>
            </w:r>
          </w:p>
        </w:tc>
        <w:tc>
          <w:tcPr>
            <w:tcW w:w="2409" w:type="dxa"/>
            <w:shd w:val="clear" w:color="auto" w:fill="auto"/>
          </w:tcPr>
          <w:p w14:paraId="4A8C765D" w14:textId="6CBAE1B8" w:rsidR="00402445" w:rsidRDefault="00402445" w:rsidP="06C2E65D">
            <w:r>
              <w:t>Najaar 2019</w:t>
            </w:r>
          </w:p>
        </w:tc>
        <w:tc>
          <w:tcPr>
            <w:tcW w:w="1560" w:type="dxa"/>
            <w:shd w:val="clear" w:color="auto" w:fill="auto"/>
          </w:tcPr>
          <w:p w14:paraId="3E0AA43A" w14:textId="56A046F8" w:rsidR="00402445" w:rsidRDefault="00402445" w:rsidP="06C2E65D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211CA521" w14:textId="1AAC5DB9" w:rsidR="00402445" w:rsidRDefault="00402445" w:rsidP="06C2E65D">
            <w:pPr>
              <w:rPr>
                <w:sz w:val="20"/>
                <w:szCs w:val="20"/>
              </w:rPr>
            </w:pPr>
          </w:p>
        </w:tc>
      </w:tr>
      <w:tr w:rsidR="00402445" w:rsidRPr="00270FB1" w14:paraId="6706C018" w14:textId="77777777" w:rsidTr="00402445">
        <w:tc>
          <w:tcPr>
            <w:tcW w:w="2093" w:type="dxa"/>
            <w:shd w:val="clear" w:color="auto" w:fill="DEEAF6" w:themeFill="accent1" w:themeFillTint="33"/>
          </w:tcPr>
          <w:p w14:paraId="37B607FF" w14:textId="77777777" w:rsidR="00402445" w:rsidRDefault="00402445" w:rsidP="00493C2C">
            <w:r>
              <w:t>Pedagogisch</w:t>
            </w:r>
          </w:p>
        </w:tc>
        <w:tc>
          <w:tcPr>
            <w:tcW w:w="2580" w:type="dxa"/>
            <w:shd w:val="clear" w:color="auto" w:fill="DEEAF6" w:themeFill="accent1" w:themeFillTint="33"/>
          </w:tcPr>
          <w:p w14:paraId="6D98A12B" w14:textId="77777777" w:rsidR="00402445" w:rsidRDefault="00402445" w:rsidP="00493C2C"/>
        </w:tc>
        <w:tc>
          <w:tcPr>
            <w:tcW w:w="2268" w:type="dxa"/>
            <w:shd w:val="clear" w:color="auto" w:fill="DEEAF6" w:themeFill="accent1" w:themeFillTint="33"/>
          </w:tcPr>
          <w:p w14:paraId="5997CC1D" w14:textId="77777777" w:rsidR="00402445" w:rsidRDefault="00402445" w:rsidP="00493C2C">
            <w:pPr>
              <w:ind w:firstLine="708"/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110FFD37" w14:textId="77777777" w:rsidR="00402445" w:rsidRDefault="00402445" w:rsidP="00493C2C"/>
        </w:tc>
        <w:tc>
          <w:tcPr>
            <w:tcW w:w="1560" w:type="dxa"/>
            <w:shd w:val="clear" w:color="auto" w:fill="DEEAF6" w:themeFill="accent1" w:themeFillTint="33"/>
          </w:tcPr>
          <w:p w14:paraId="6B699379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DEEAF6" w:themeFill="accent1" w:themeFillTint="33"/>
          </w:tcPr>
          <w:p w14:paraId="3FE9F23F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57BA5AE5" w14:textId="77777777" w:rsidTr="00402445">
        <w:tc>
          <w:tcPr>
            <w:tcW w:w="2093" w:type="dxa"/>
            <w:shd w:val="clear" w:color="auto" w:fill="auto"/>
          </w:tcPr>
          <w:p w14:paraId="1441E03A" w14:textId="330397C0" w:rsidR="00402445" w:rsidRDefault="00402445" w:rsidP="41D0F0C8">
            <w:pPr>
              <w:spacing w:after="0" w:line="264" w:lineRule="auto"/>
            </w:pPr>
            <w:r w:rsidRPr="41D0F0C8">
              <w:rPr>
                <w:rFonts w:ascii="Arial" w:eastAsia="Arial" w:hAnsi="Arial" w:cs="Arial"/>
              </w:rPr>
              <w:t>Autisme vriendelijk onderwijs</w:t>
            </w:r>
          </w:p>
          <w:p w14:paraId="370687F9" w14:textId="6E7B7650" w:rsidR="00402445" w:rsidRDefault="00402445" w:rsidP="41D0F0C8"/>
        </w:tc>
        <w:tc>
          <w:tcPr>
            <w:tcW w:w="2580" w:type="dxa"/>
            <w:shd w:val="clear" w:color="auto" w:fill="auto"/>
          </w:tcPr>
          <w:p w14:paraId="67206714" w14:textId="02A82EAD" w:rsidR="00402445" w:rsidRDefault="00402445" w:rsidP="41D0F0C8">
            <w:pPr>
              <w:spacing w:after="120" w:line="264" w:lineRule="auto"/>
              <w:rPr>
                <w:rFonts w:ascii="Arial" w:eastAsia="Arial" w:hAnsi="Arial" w:cs="Arial"/>
              </w:rPr>
            </w:pPr>
            <w:r w:rsidRPr="41D0F0C8">
              <w:rPr>
                <w:rFonts w:ascii="Arial" w:eastAsia="Arial" w:hAnsi="Arial" w:cs="Arial"/>
              </w:rPr>
              <w:t>Ons pedagogisch klimaat is ingericht op het bieden van structuur, veiligheid, rust en ontwikkeling aan leerlingen met ASS of hieraan verwante problematiek.</w:t>
            </w:r>
          </w:p>
          <w:p w14:paraId="763AA896" w14:textId="5CEFBE08" w:rsidR="00402445" w:rsidRDefault="00402445" w:rsidP="41D0F0C8"/>
        </w:tc>
        <w:tc>
          <w:tcPr>
            <w:tcW w:w="2268" w:type="dxa"/>
            <w:shd w:val="clear" w:color="auto" w:fill="auto"/>
          </w:tcPr>
          <w:p w14:paraId="550957E2" w14:textId="54030EB0" w:rsidR="00402445" w:rsidRDefault="00402445" w:rsidP="00513357">
            <w:r>
              <w:t xml:space="preserve">Start in schooljaar 2018-2019 met onderzoek naar wat we doen aan autisme vriendelijk onderwijs, wat goed gaat, wat beter kan en wat en of een specifieke methode  geschikt zou kunnen zijn. </w:t>
            </w:r>
          </w:p>
        </w:tc>
        <w:tc>
          <w:tcPr>
            <w:tcW w:w="2409" w:type="dxa"/>
            <w:shd w:val="clear" w:color="auto" w:fill="auto"/>
          </w:tcPr>
          <w:p w14:paraId="1F72F646" w14:textId="6C5AA4B5" w:rsidR="00402445" w:rsidRDefault="00402445" w:rsidP="00493C2C">
            <w:r>
              <w:t>2019-2020</w:t>
            </w:r>
          </w:p>
        </w:tc>
        <w:tc>
          <w:tcPr>
            <w:tcW w:w="1560" w:type="dxa"/>
            <w:shd w:val="clear" w:color="auto" w:fill="auto"/>
          </w:tcPr>
          <w:p w14:paraId="08CE6F91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61CDCEAD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072215E3" w14:textId="77777777" w:rsidTr="00402445">
        <w:tc>
          <w:tcPr>
            <w:tcW w:w="2093" w:type="dxa"/>
            <w:shd w:val="clear" w:color="auto" w:fill="auto"/>
          </w:tcPr>
          <w:p w14:paraId="19E2C254" w14:textId="6F4B6093" w:rsidR="00402445" w:rsidRDefault="00402445" w:rsidP="41D0F0C8">
            <w:pPr>
              <w:spacing w:after="120" w:line="264" w:lineRule="auto"/>
              <w:rPr>
                <w:rFonts w:ascii="Arial" w:eastAsia="Arial" w:hAnsi="Arial" w:cs="Arial"/>
              </w:rPr>
            </w:pPr>
            <w:r w:rsidRPr="41D0F0C8">
              <w:rPr>
                <w:rFonts w:ascii="Arial" w:eastAsia="Arial" w:hAnsi="Arial" w:cs="Arial"/>
              </w:rPr>
              <w:t>Sensorische informatieverwerking</w:t>
            </w:r>
          </w:p>
          <w:p w14:paraId="14A489F7" w14:textId="3E086259" w:rsidR="00402445" w:rsidRDefault="00402445" w:rsidP="41D0F0C8"/>
        </w:tc>
        <w:tc>
          <w:tcPr>
            <w:tcW w:w="2580" w:type="dxa"/>
            <w:shd w:val="clear" w:color="auto" w:fill="auto"/>
          </w:tcPr>
          <w:p w14:paraId="3F55450C" w14:textId="242863D1" w:rsidR="00402445" w:rsidRDefault="00402445" w:rsidP="41D0F0C8">
            <w:r w:rsidRPr="41D0F0C8">
              <w:rPr>
                <w:rFonts w:ascii="Arial" w:eastAsia="Arial" w:hAnsi="Arial" w:cs="Arial"/>
              </w:rPr>
              <w:t xml:space="preserve">Binnen de ENB wordt gewerkt met een sensorisch waardevolle omgeving waarin de sensorische </w:t>
            </w:r>
            <w:r w:rsidRPr="41D0F0C8">
              <w:rPr>
                <w:rFonts w:ascii="Arial" w:eastAsia="Arial" w:hAnsi="Arial" w:cs="Arial"/>
              </w:rPr>
              <w:lastRenderedPageBreak/>
              <w:t>informatieverwerking van de leerling aandacht heeft en adequaat kan worden ondersteund door de medewerkers.</w:t>
            </w:r>
          </w:p>
        </w:tc>
        <w:tc>
          <w:tcPr>
            <w:tcW w:w="2268" w:type="dxa"/>
            <w:shd w:val="clear" w:color="auto" w:fill="auto"/>
          </w:tcPr>
          <w:p w14:paraId="3F077FBA" w14:textId="76985A29" w:rsidR="00402445" w:rsidRDefault="00402445" w:rsidP="00513357">
            <w:r>
              <w:lastRenderedPageBreak/>
              <w:t xml:space="preserve">Start met een  </w:t>
            </w:r>
            <w:proofErr w:type="spellStart"/>
            <w:r>
              <w:t>teambrede</w:t>
            </w:r>
            <w:proofErr w:type="spellEnd"/>
            <w:r>
              <w:t xml:space="preserve"> studiedag, daarna praktisch uitvoeren in de klassen en </w:t>
            </w:r>
            <w:r>
              <w:lastRenderedPageBreak/>
              <w:t xml:space="preserve">terugkoppelmiddagen met het SI team om ervaringen uit te wisselen en tips te delen. </w:t>
            </w:r>
          </w:p>
        </w:tc>
        <w:tc>
          <w:tcPr>
            <w:tcW w:w="2409" w:type="dxa"/>
            <w:shd w:val="clear" w:color="auto" w:fill="auto"/>
          </w:tcPr>
          <w:p w14:paraId="7B13F2D5" w14:textId="54EA2058" w:rsidR="00402445" w:rsidRDefault="00402445" w:rsidP="00493C2C">
            <w:r>
              <w:lastRenderedPageBreak/>
              <w:t>Studiedag 18-10-2019</w:t>
            </w:r>
          </w:p>
          <w:p w14:paraId="57338DF4" w14:textId="3438F365" w:rsidR="00402445" w:rsidRDefault="00402445" w:rsidP="41D0F0C8">
            <w:r>
              <w:t>Studiedag 22-11-2019 (dagdeel)</w:t>
            </w:r>
          </w:p>
          <w:p w14:paraId="6BB9E253" w14:textId="655ACBAD" w:rsidR="00402445" w:rsidRDefault="00402445" w:rsidP="41D0F0C8">
            <w:r>
              <w:lastRenderedPageBreak/>
              <w:t>Studiemiddag 12-02-2020</w:t>
            </w:r>
          </w:p>
        </w:tc>
        <w:tc>
          <w:tcPr>
            <w:tcW w:w="1560" w:type="dxa"/>
            <w:shd w:val="clear" w:color="auto" w:fill="auto"/>
          </w:tcPr>
          <w:p w14:paraId="23DE523C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52E56223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1560FAB2" w14:textId="77777777" w:rsidTr="00402445">
        <w:tc>
          <w:tcPr>
            <w:tcW w:w="2093" w:type="dxa"/>
            <w:shd w:val="clear" w:color="auto" w:fill="auto"/>
          </w:tcPr>
          <w:p w14:paraId="287E8969" w14:textId="42BAC633" w:rsidR="00402445" w:rsidRDefault="00402445" w:rsidP="41D0F0C8">
            <w:r>
              <w:t>Kijkwijzer traumasensitief onderwijs</w:t>
            </w:r>
          </w:p>
        </w:tc>
        <w:tc>
          <w:tcPr>
            <w:tcW w:w="2580" w:type="dxa"/>
            <w:shd w:val="clear" w:color="auto" w:fill="auto"/>
          </w:tcPr>
          <w:p w14:paraId="2A7CF8A9" w14:textId="43FF23D5" w:rsidR="00402445" w:rsidRDefault="00402445" w:rsidP="00493C2C">
            <w:r>
              <w:t xml:space="preserve">Binnen de ENB wordt gewerkt vanuit het TSO, door middel van het inzetten van de kijkwijzer wordt gemeten en besproken waar dit in terugkomt in de klas. </w:t>
            </w:r>
          </w:p>
        </w:tc>
        <w:tc>
          <w:tcPr>
            <w:tcW w:w="2268" w:type="dxa"/>
            <w:shd w:val="clear" w:color="auto" w:fill="auto"/>
          </w:tcPr>
          <w:p w14:paraId="502F5AA4" w14:textId="765081CD" w:rsidR="00402445" w:rsidRDefault="00402445" w:rsidP="00493C2C">
            <w:pPr>
              <w:ind w:firstLine="708"/>
            </w:pPr>
          </w:p>
        </w:tc>
        <w:tc>
          <w:tcPr>
            <w:tcW w:w="2409" w:type="dxa"/>
            <w:shd w:val="clear" w:color="auto" w:fill="auto"/>
          </w:tcPr>
          <w:p w14:paraId="6DFB9E20" w14:textId="4FB9750C" w:rsidR="00402445" w:rsidRDefault="00402445" w:rsidP="00493C2C">
            <w:r>
              <w:t>2019-2020</w:t>
            </w:r>
          </w:p>
        </w:tc>
        <w:tc>
          <w:tcPr>
            <w:tcW w:w="1560" w:type="dxa"/>
            <w:shd w:val="clear" w:color="auto" w:fill="auto"/>
          </w:tcPr>
          <w:p w14:paraId="70DF9E56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44E871BC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316E31CC" w14:textId="77777777" w:rsidTr="00402445">
        <w:tc>
          <w:tcPr>
            <w:tcW w:w="2093" w:type="dxa"/>
            <w:shd w:val="clear" w:color="auto" w:fill="auto"/>
          </w:tcPr>
          <w:p w14:paraId="332C15DA" w14:textId="0E2D907C" w:rsidR="00402445" w:rsidRDefault="00402445" w:rsidP="41D0F0C8">
            <w:r>
              <w:t xml:space="preserve">Pestprotocol </w:t>
            </w:r>
          </w:p>
        </w:tc>
        <w:tc>
          <w:tcPr>
            <w:tcW w:w="2580" w:type="dxa"/>
            <w:shd w:val="clear" w:color="auto" w:fill="auto"/>
          </w:tcPr>
          <w:p w14:paraId="629A49AD" w14:textId="2CB29A81" w:rsidR="00402445" w:rsidRDefault="00402445" w:rsidP="41D0F0C8">
            <w:r>
              <w:t xml:space="preserve"> De ENB heeft een up </w:t>
            </w:r>
            <w:proofErr w:type="spellStart"/>
            <w:r>
              <w:t>to</w:t>
            </w:r>
            <w:proofErr w:type="spellEnd"/>
            <w:r>
              <w:t xml:space="preserve"> date pestprotocol en dit is bekend bij ouders en kinderen.</w:t>
            </w:r>
          </w:p>
          <w:p w14:paraId="7B28B4C6" w14:textId="667B5B08" w:rsidR="00402445" w:rsidRDefault="00402445" w:rsidP="00493C2C">
            <w:pPr>
              <w:pStyle w:val="Geenafstand"/>
            </w:pPr>
          </w:p>
        </w:tc>
        <w:tc>
          <w:tcPr>
            <w:tcW w:w="2268" w:type="dxa"/>
            <w:shd w:val="clear" w:color="auto" w:fill="auto"/>
          </w:tcPr>
          <w:p w14:paraId="144A5D23" w14:textId="77777777" w:rsidR="00402445" w:rsidRDefault="00402445" w:rsidP="00493C2C">
            <w:pPr>
              <w:ind w:firstLine="708"/>
            </w:pPr>
          </w:p>
        </w:tc>
        <w:tc>
          <w:tcPr>
            <w:tcW w:w="2409" w:type="dxa"/>
            <w:shd w:val="clear" w:color="auto" w:fill="auto"/>
          </w:tcPr>
          <w:p w14:paraId="738610EB" w14:textId="64FE1519" w:rsidR="00402445" w:rsidRDefault="00402445" w:rsidP="00493C2C">
            <w:r>
              <w:t>2019-2020</w:t>
            </w:r>
          </w:p>
        </w:tc>
        <w:tc>
          <w:tcPr>
            <w:tcW w:w="1560" w:type="dxa"/>
            <w:shd w:val="clear" w:color="auto" w:fill="auto"/>
          </w:tcPr>
          <w:p w14:paraId="637805D2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463F29E8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5C3CCEDD" w14:textId="77777777" w:rsidTr="00402445">
        <w:tc>
          <w:tcPr>
            <w:tcW w:w="2093" w:type="dxa"/>
            <w:shd w:val="clear" w:color="auto" w:fill="auto"/>
          </w:tcPr>
          <w:p w14:paraId="038FFD98" w14:textId="4CFB482F" w:rsidR="00402445" w:rsidRDefault="00402445" w:rsidP="00493C2C">
            <w:r>
              <w:t>Leerlijn sociaal gedrag</w:t>
            </w:r>
          </w:p>
        </w:tc>
        <w:tc>
          <w:tcPr>
            <w:tcW w:w="2580" w:type="dxa"/>
            <w:shd w:val="clear" w:color="auto" w:fill="auto"/>
          </w:tcPr>
          <w:p w14:paraId="31BD3E53" w14:textId="243D6B6E" w:rsidR="00402445" w:rsidRDefault="00402445" w:rsidP="00493C2C">
            <w:pPr>
              <w:pStyle w:val="Geenafstand"/>
            </w:pPr>
            <w:r>
              <w:t xml:space="preserve">De ENB gebruikt Leefstijl en Sociaal gedrag elke dag voor Sociaal Emotioneel Leren. </w:t>
            </w:r>
          </w:p>
          <w:p w14:paraId="017F36AE" w14:textId="4342787A" w:rsidR="00402445" w:rsidRDefault="00402445" w:rsidP="00493C2C">
            <w:pPr>
              <w:pStyle w:val="Geenafstand"/>
            </w:pPr>
            <w:r>
              <w:t xml:space="preserve">Er wordt gewerkt vanuit de kerndoelen zoals benoemd in SCOL/leerlijn SOVA CED. </w:t>
            </w:r>
          </w:p>
          <w:p w14:paraId="007A2692" w14:textId="4936F624" w:rsidR="00402445" w:rsidRDefault="00402445" w:rsidP="00493C2C">
            <w:pPr>
              <w:pStyle w:val="Geenafstand"/>
            </w:pPr>
            <w:r>
              <w:t xml:space="preserve">Bij ieder kerndoel is beschreven welk materiaal gebruikt kan </w:t>
            </w:r>
            <w:r>
              <w:lastRenderedPageBreak/>
              <w:t xml:space="preserve">worden vanuit Sociaal Gedrag Elke Dag/Leefstijl e.a. materiaal. </w:t>
            </w:r>
          </w:p>
        </w:tc>
        <w:tc>
          <w:tcPr>
            <w:tcW w:w="2268" w:type="dxa"/>
            <w:shd w:val="clear" w:color="auto" w:fill="auto"/>
          </w:tcPr>
          <w:p w14:paraId="22EB12A5" w14:textId="1A5E50B5" w:rsidR="00402445" w:rsidRDefault="00402445" w:rsidP="501CC739">
            <w:r>
              <w:lastRenderedPageBreak/>
              <w:t xml:space="preserve">In de groepen ½ tot en met 5 worden Leefstijl en SGED naast elkaar gebruikt na de pilot van vorig schooljaar. </w:t>
            </w:r>
          </w:p>
          <w:p w14:paraId="6C35B6C8" w14:textId="44299E0B" w:rsidR="00402445" w:rsidRDefault="00402445" w:rsidP="501CC739">
            <w:r>
              <w:t xml:space="preserve">De werkgroep maakt een plan voor inzet </w:t>
            </w:r>
            <w:r>
              <w:lastRenderedPageBreak/>
              <w:t xml:space="preserve">SGED in de midden/bovenbouw. </w:t>
            </w:r>
          </w:p>
          <w:p w14:paraId="2CB8387E" w14:textId="03C3BF50" w:rsidR="00402445" w:rsidRDefault="00402445" w:rsidP="501CC739">
            <w:r>
              <w:t xml:space="preserve">De werkgroep maakt een document waarin de doelen gekoppeld worden aan materiaal. </w:t>
            </w:r>
          </w:p>
          <w:p w14:paraId="3B7B4B86" w14:textId="08D46A60" w:rsidR="00402445" w:rsidRDefault="00402445" w:rsidP="501CC739"/>
        </w:tc>
        <w:tc>
          <w:tcPr>
            <w:tcW w:w="2409" w:type="dxa"/>
            <w:shd w:val="clear" w:color="auto" w:fill="auto"/>
          </w:tcPr>
          <w:p w14:paraId="02541D0E" w14:textId="1F7AC015" w:rsidR="00402445" w:rsidRDefault="00402445" w:rsidP="00493C2C">
            <w:r>
              <w:lastRenderedPageBreak/>
              <w:t>2019-2020</w:t>
            </w:r>
          </w:p>
          <w:p w14:paraId="43EB94D6" w14:textId="162A9CA3" w:rsidR="00402445" w:rsidRDefault="00402445" w:rsidP="501CC739">
            <w:r>
              <w:t xml:space="preserve">Barbara sluit aan bij midden/bovenbouwvergadering in najaar 2019. </w:t>
            </w:r>
          </w:p>
          <w:p w14:paraId="1F7BFFC9" w14:textId="69014EB5" w:rsidR="00402445" w:rsidRDefault="00402445" w:rsidP="501CC739">
            <w:r>
              <w:t>Start uitrol/pilot mi/</w:t>
            </w:r>
            <w:proofErr w:type="spellStart"/>
            <w:r>
              <w:t>bobouw</w:t>
            </w:r>
            <w:proofErr w:type="spellEnd"/>
            <w:r>
              <w:t xml:space="preserve"> november 2019. </w:t>
            </w:r>
          </w:p>
          <w:p w14:paraId="07D9B821" w14:textId="42647D88" w:rsidR="00402445" w:rsidRDefault="00402445" w:rsidP="501CC739">
            <w:r>
              <w:lastRenderedPageBreak/>
              <w:t>Plan inzet SGED naast Leefstijl maart 2019</w:t>
            </w:r>
          </w:p>
          <w:p w14:paraId="3A0FF5F2" w14:textId="04367594" w:rsidR="00402445" w:rsidRDefault="00402445" w:rsidP="501CC739">
            <w:r>
              <w:t>Koppeling doelen aan materialen juni 2019</w:t>
            </w:r>
          </w:p>
        </w:tc>
        <w:tc>
          <w:tcPr>
            <w:tcW w:w="1560" w:type="dxa"/>
            <w:shd w:val="clear" w:color="auto" w:fill="auto"/>
          </w:tcPr>
          <w:p w14:paraId="5630AD66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61829076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032A213D" w14:textId="77777777" w:rsidTr="00402445">
        <w:tc>
          <w:tcPr>
            <w:tcW w:w="2093" w:type="dxa"/>
            <w:shd w:val="clear" w:color="auto" w:fill="DEEAF6" w:themeFill="accent1" w:themeFillTint="33"/>
          </w:tcPr>
          <w:p w14:paraId="62266584" w14:textId="77777777" w:rsidR="00402445" w:rsidRDefault="00402445" w:rsidP="00493C2C">
            <w:r>
              <w:t>Organisatie</w:t>
            </w:r>
          </w:p>
        </w:tc>
        <w:tc>
          <w:tcPr>
            <w:tcW w:w="2580" w:type="dxa"/>
            <w:shd w:val="clear" w:color="auto" w:fill="DEEAF6" w:themeFill="accent1" w:themeFillTint="33"/>
          </w:tcPr>
          <w:p w14:paraId="2DBF0D7D" w14:textId="77777777" w:rsidR="00402445" w:rsidRDefault="00402445" w:rsidP="00493C2C"/>
        </w:tc>
        <w:tc>
          <w:tcPr>
            <w:tcW w:w="2268" w:type="dxa"/>
            <w:shd w:val="clear" w:color="auto" w:fill="DEEAF6" w:themeFill="accent1" w:themeFillTint="33"/>
          </w:tcPr>
          <w:p w14:paraId="02F2C34E" w14:textId="77777777" w:rsidR="00402445" w:rsidRDefault="00402445" w:rsidP="00493C2C">
            <w:pPr>
              <w:ind w:firstLine="708"/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14:paraId="680A4E5D" w14:textId="77777777" w:rsidR="00402445" w:rsidRDefault="00402445" w:rsidP="00493C2C"/>
        </w:tc>
        <w:tc>
          <w:tcPr>
            <w:tcW w:w="1560" w:type="dxa"/>
            <w:shd w:val="clear" w:color="auto" w:fill="DEEAF6" w:themeFill="accent1" w:themeFillTint="33"/>
          </w:tcPr>
          <w:p w14:paraId="19219836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DEEAF6" w:themeFill="accent1" w:themeFillTint="33"/>
          </w:tcPr>
          <w:p w14:paraId="296FEF7D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2FA72348" w14:textId="77777777" w:rsidTr="00402445">
        <w:tc>
          <w:tcPr>
            <w:tcW w:w="2093" w:type="dxa"/>
            <w:shd w:val="clear" w:color="auto" w:fill="auto"/>
          </w:tcPr>
          <w:p w14:paraId="4530B0F6" w14:textId="77777777" w:rsidR="00402445" w:rsidRDefault="00402445" w:rsidP="00493C2C">
            <w:r>
              <w:t>Ouderbetrokkenheid</w:t>
            </w:r>
          </w:p>
        </w:tc>
        <w:tc>
          <w:tcPr>
            <w:tcW w:w="2580" w:type="dxa"/>
            <w:shd w:val="clear" w:color="auto" w:fill="auto"/>
          </w:tcPr>
          <w:p w14:paraId="5AB8976E" w14:textId="1C18D2B2" w:rsidR="00402445" w:rsidRDefault="00402445" w:rsidP="00493C2C">
            <w:r>
              <w:t xml:space="preserve">Vanuit de richtlijnen van CPS wordt in 2018-2019 de stijgende lijn van ouderbetrokkenheid op de ENB uitgebouwd. </w:t>
            </w:r>
          </w:p>
        </w:tc>
        <w:tc>
          <w:tcPr>
            <w:tcW w:w="2268" w:type="dxa"/>
            <w:shd w:val="clear" w:color="auto" w:fill="auto"/>
          </w:tcPr>
          <w:p w14:paraId="654AF380" w14:textId="68EB37A0" w:rsidR="00402445" w:rsidRDefault="00402445" w:rsidP="41D0F0C8">
            <w:r>
              <w:t xml:space="preserve">De oudercommissie wordt opgericht m.b.v. 4 enthousiaste ouders waarbij Priscilla de brug is tussen ouders en school. </w:t>
            </w:r>
          </w:p>
          <w:p w14:paraId="769D0D3C" w14:textId="1A834175" w:rsidR="00402445" w:rsidRDefault="00402445" w:rsidP="41D0F0C8">
            <w:r>
              <w:t xml:space="preserve">De oudercommissie heeft een ondersteunende taak bij activiteiten op school en kijkt naar een educatief programma voor ouders onderling. </w:t>
            </w:r>
          </w:p>
        </w:tc>
        <w:tc>
          <w:tcPr>
            <w:tcW w:w="2409" w:type="dxa"/>
            <w:shd w:val="clear" w:color="auto" w:fill="auto"/>
          </w:tcPr>
          <w:p w14:paraId="3ACE28CD" w14:textId="40032017" w:rsidR="00402445" w:rsidRDefault="00402445" w:rsidP="41D0F0C8">
            <w:r>
              <w:t>2019-2020</w:t>
            </w:r>
          </w:p>
        </w:tc>
        <w:tc>
          <w:tcPr>
            <w:tcW w:w="1560" w:type="dxa"/>
            <w:shd w:val="clear" w:color="auto" w:fill="auto"/>
          </w:tcPr>
          <w:p w14:paraId="54CD245A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1231BE67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51E0140F" w14:textId="77777777" w:rsidTr="00402445">
        <w:tc>
          <w:tcPr>
            <w:tcW w:w="2093" w:type="dxa"/>
            <w:shd w:val="clear" w:color="auto" w:fill="auto"/>
          </w:tcPr>
          <w:p w14:paraId="193BB459" w14:textId="2C1A8F20" w:rsidR="00402445" w:rsidRDefault="00402445" w:rsidP="00493C2C">
            <w:r>
              <w:t>Klassenbezoeken</w:t>
            </w:r>
          </w:p>
        </w:tc>
        <w:tc>
          <w:tcPr>
            <w:tcW w:w="2580" w:type="dxa"/>
            <w:shd w:val="clear" w:color="auto" w:fill="auto"/>
          </w:tcPr>
          <w:p w14:paraId="1E47B376" w14:textId="31A5A719" w:rsidR="00402445" w:rsidRDefault="00402445" w:rsidP="00493C2C">
            <w:r>
              <w:t xml:space="preserve">Directie en IB gaan vanuit de visie van onderwijskundig </w:t>
            </w:r>
            <w:r>
              <w:lastRenderedPageBreak/>
              <w:t xml:space="preserve">leiderschap regelmatig op klassenbezoek bij de verschillende groepen. </w:t>
            </w:r>
          </w:p>
        </w:tc>
        <w:tc>
          <w:tcPr>
            <w:tcW w:w="2268" w:type="dxa"/>
            <w:shd w:val="clear" w:color="auto" w:fill="auto"/>
          </w:tcPr>
          <w:p w14:paraId="5B7DC0A2" w14:textId="55918BF2" w:rsidR="00402445" w:rsidRDefault="00402445" w:rsidP="41D0F0C8">
            <w:r>
              <w:lastRenderedPageBreak/>
              <w:t xml:space="preserve">Er wordt hier gebruik gemaakt van de lesobservaties vanuit </w:t>
            </w:r>
            <w:proofErr w:type="spellStart"/>
            <w:r>
              <w:lastRenderedPageBreak/>
              <w:t>Bardo</w:t>
            </w:r>
            <w:proofErr w:type="spellEnd"/>
            <w:r>
              <w:t xml:space="preserve">, van de methode Flitsbezoeken van </w:t>
            </w:r>
            <w:proofErr w:type="spellStart"/>
            <w:r>
              <w:t>Bazalt</w:t>
            </w:r>
            <w:proofErr w:type="spellEnd"/>
            <w:r>
              <w:t xml:space="preserve"> of anders. </w:t>
            </w:r>
          </w:p>
          <w:p w14:paraId="36FEB5B0" w14:textId="196799B8" w:rsidR="00402445" w:rsidRDefault="00402445" w:rsidP="41D0F0C8"/>
        </w:tc>
        <w:tc>
          <w:tcPr>
            <w:tcW w:w="2409" w:type="dxa"/>
            <w:shd w:val="clear" w:color="auto" w:fill="auto"/>
          </w:tcPr>
          <w:p w14:paraId="3E4BC31B" w14:textId="2491E40D" w:rsidR="00402445" w:rsidRDefault="00402445" w:rsidP="00493C2C"/>
        </w:tc>
        <w:tc>
          <w:tcPr>
            <w:tcW w:w="1560" w:type="dxa"/>
            <w:shd w:val="clear" w:color="auto" w:fill="auto"/>
          </w:tcPr>
          <w:p w14:paraId="30D7AA69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7196D064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22EF4ADB" w14:textId="77777777" w:rsidTr="00402445">
        <w:tc>
          <w:tcPr>
            <w:tcW w:w="2093" w:type="dxa"/>
            <w:shd w:val="clear" w:color="auto" w:fill="auto"/>
          </w:tcPr>
          <w:p w14:paraId="566B84AD" w14:textId="2E024FB5" w:rsidR="00402445" w:rsidRDefault="00402445" w:rsidP="00493C2C">
            <w:proofErr w:type="spellStart"/>
            <w:r>
              <w:t>Esis</w:t>
            </w:r>
            <w:proofErr w:type="spellEnd"/>
            <w:r>
              <w:t xml:space="preserve"> organiseren</w:t>
            </w:r>
          </w:p>
        </w:tc>
        <w:tc>
          <w:tcPr>
            <w:tcW w:w="2580" w:type="dxa"/>
            <w:shd w:val="clear" w:color="auto" w:fill="auto"/>
          </w:tcPr>
          <w:p w14:paraId="4B366381" w14:textId="5E1CBB47" w:rsidR="00402445" w:rsidRDefault="00402445" w:rsidP="00493C2C">
            <w:r>
              <w:t xml:space="preserve">Er is een duidelijk protocol voor registreren en benoemen van registraties in </w:t>
            </w:r>
            <w:proofErr w:type="spellStart"/>
            <w:r>
              <w:t>Esis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107DC4D" w14:textId="6BFAFA4C" w:rsidR="00402445" w:rsidRDefault="00402445" w:rsidP="00493C2C">
            <w:r>
              <w:t xml:space="preserve">Er wordt bekeken welke registraties en documenten er gebruikt worden en nodig zijn en hier wordt een handleiding voor gemaakt. </w:t>
            </w:r>
          </w:p>
          <w:p w14:paraId="6D072C0D" w14:textId="6F24FB7F" w:rsidR="00402445" w:rsidRDefault="00402445" w:rsidP="411F4BA2">
            <w:r>
              <w:t xml:space="preserve">IB levert input, ICT voert uit. </w:t>
            </w:r>
          </w:p>
        </w:tc>
        <w:tc>
          <w:tcPr>
            <w:tcW w:w="2409" w:type="dxa"/>
            <w:shd w:val="clear" w:color="auto" w:fill="auto"/>
          </w:tcPr>
          <w:p w14:paraId="3C451057" w14:textId="79F99671" w:rsidR="00402445" w:rsidRDefault="00402445" w:rsidP="00493C2C">
            <w:r>
              <w:t>2019-2020</w:t>
            </w:r>
          </w:p>
        </w:tc>
        <w:tc>
          <w:tcPr>
            <w:tcW w:w="1560" w:type="dxa"/>
            <w:shd w:val="clear" w:color="auto" w:fill="auto"/>
          </w:tcPr>
          <w:p w14:paraId="48A21919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6BD18F9B" w14:textId="77777777" w:rsidR="00402445" w:rsidRPr="00270FB1" w:rsidRDefault="00402445" w:rsidP="00493C2C">
            <w:pPr>
              <w:rPr>
                <w:sz w:val="20"/>
                <w:szCs w:val="20"/>
              </w:rPr>
            </w:pPr>
          </w:p>
        </w:tc>
      </w:tr>
      <w:tr w:rsidR="00402445" w:rsidRPr="00270FB1" w14:paraId="2597F3BD" w14:textId="77777777" w:rsidTr="00402445">
        <w:tc>
          <w:tcPr>
            <w:tcW w:w="2093" w:type="dxa"/>
            <w:shd w:val="clear" w:color="auto" w:fill="auto"/>
          </w:tcPr>
          <w:p w14:paraId="0A32D542" w14:textId="265943D0" w:rsidR="00402445" w:rsidRDefault="00402445" w:rsidP="00CB7E5A">
            <w:r>
              <w:t>Burgerschap</w:t>
            </w:r>
          </w:p>
        </w:tc>
        <w:tc>
          <w:tcPr>
            <w:tcW w:w="2580" w:type="dxa"/>
            <w:shd w:val="clear" w:color="auto" w:fill="auto"/>
          </w:tcPr>
          <w:p w14:paraId="5314C6A3" w14:textId="0F01298E" w:rsidR="00402445" w:rsidRDefault="00402445" w:rsidP="00CB7E5A"/>
        </w:tc>
        <w:tc>
          <w:tcPr>
            <w:tcW w:w="2268" w:type="dxa"/>
            <w:shd w:val="clear" w:color="auto" w:fill="auto"/>
          </w:tcPr>
          <w:p w14:paraId="664355AD" w14:textId="77777777" w:rsidR="00402445" w:rsidRDefault="00402445" w:rsidP="00CB7E5A"/>
        </w:tc>
        <w:tc>
          <w:tcPr>
            <w:tcW w:w="2409" w:type="dxa"/>
            <w:shd w:val="clear" w:color="auto" w:fill="auto"/>
          </w:tcPr>
          <w:p w14:paraId="37BFD810" w14:textId="25869696" w:rsidR="00402445" w:rsidRDefault="00402445" w:rsidP="00CB7E5A"/>
        </w:tc>
        <w:tc>
          <w:tcPr>
            <w:tcW w:w="1560" w:type="dxa"/>
            <w:shd w:val="clear" w:color="auto" w:fill="auto"/>
          </w:tcPr>
          <w:p w14:paraId="1A965116" w14:textId="77777777" w:rsidR="00402445" w:rsidRPr="00270FB1" w:rsidRDefault="00402445" w:rsidP="00CB7E5A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7DF4E37C" w14:textId="77777777" w:rsidR="00402445" w:rsidRPr="00270FB1" w:rsidRDefault="00402445" w:rsidP="00CB7E5A">
            <w:pPr>
              <w:rPr>
                <w:sz w:val="20"/>
                <w:szCs w:val="20"/>
              </w:rPr>
            </w:pPr>
          </w:p>
        </w:tc>
      </w:tr>
      <w:tr w:rsidR="00402445" w14:paraId="489C2EF5" w14:textId="77777777" w:rsidTr="00402445">
        <w:tc>
          <w:tcPr>
            <w:tcW w:w="2093" w:type="dxa"/>
            <w:shd w:val="clear" w:color="auto" w:fill="auto"/>
          </w:tcPr>
          <w:p w14:paraId="393C8713" w14:textId="0D7A2BF3" w:rsidR="00402445" w:rsidRDefault="00402445" w:rsidP="501CC739">
            <w:r>
              <w:t>Kwaliteitsimpuls Leefstijl</w:t>
            </w:r>
          </w:p>
        </w:tc>
        <w:tc>
          <w:tcPr>
            <w:tcW w:w="2580" w:type="dxa"/>
            <w:shd w:val="clear" w:color="auto" w:fill="auto"/>
          </w:tcPr>
          <w:p w14:paraId="324730B8" w14:textId="754B5E18" w:rsidR="00402445" w:rsidRDefault="00402445" w:rsidP="501CC739"/>
        </w:tc>
        <w:tc>
          <w:tcPr>
            <w:tcW w:w="2268" w:type="dxa"/>
            <w:shd w:val="clear" w:color="auto" w:fill="auto"/>
          </w:tcPr>
          <w:p w14:paraId="7B54E49F" w14:textId="32215029" w:rsidR="00402445" w:rsidRDefault="00402445" w:rsidP="501CC739"/>
        </w:tc>
        <w:tc>
          <w:tcPr>
            <w:tcW w:w="2409" w:type="dxa"/>
            <w:shd w:val="clear" w:color="auto" w:fill="auto"/>
          </w:tcPr>
          <w:p w14:paraId="514A435A" w14:textId="7B0DC2C8" w:rsidR="00402445" w:rsidRDefault="00402445" w:rsidP="501CC739"/>
        </w:tc>
        <w:tc>
          <w:tcPr>
            <w:tcW w:w="1560" w:type="dxa"/>
            <w:shd w:val="clear" w:color="auto" w:fill="auto"/>
          </w:tcPr>
          <w:p w14:paraId="7E01B82E" w14:textId="69A13A0B" w:rsidR="00402445" w:rsidRDefault="00402445" w:rsidP="501CC739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14:paraId="1EB6C8ED" w14:textId="25403E76" w:rsidR="00402445" w:rsidRDefault="00402445" w:rsidP="501CC739">
            <w:pPr>
              <w:rPr>
                <w:sz w:val="20"/>
                <w:szCs w:val="20"/>
              </w:rPr>
            </w:pPr>
          </w:p>
        </w:tc>
      </w:tr>
    </w:tbl>
    <w:p w14:paraId="44FB30F8" w14:textId="77777777" w:rsidR="00FB1EEB" w:rsidRDefault="00402445"/>
    <w:sectPr w:rsidR="00FB1EEB" w:rsidSect="007C6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059E"/>
    <w:multiLevelType w:val="hybridMultilevel"/>
    <w:tmpl w:val="61B6E0EC"/>
    <w:lvl w:ilvl="0" w:tplc="4E6AAD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C2D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CE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26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C9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83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2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1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80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7FDB"/>
    <w:multiLevelType w:val="hybridMultilevel"/>
    <w:tmpl w:val="9A0EB298"/>
    <w:lvl w:ilvl="0" w:tplc="0FE0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CF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47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2F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9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2E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49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A7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4D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D"/>
    <w:rsid w:val="00076306"/>
    <w:rsid w:val="00402445"/>
    <w:rsid w:val="00406D06"/>
    <w:rsid w:val="00493C2C"/>
    <w:rsid w:val="00513357"/>
    <w:rsid w:val="00630948"/>
    <w:rsid w:val="0067510E"/>
    <w:rsid w:val="007C694D"/>
    <w:rsid w:val="00974860"/>
    <w:rsid w:val="009E5663"/>
    <w:rsid w:val="00A25B1D"/>
    <w:rsid w:val="00B02E6E"/>
    <w:rsid w:val="00B37A55"/>
    <w:rsid w:val="00B67DC0"/>
    <w:rsid w:val="00CB7E5A"/>
    <w:rsid w:val="00DE618E"/>
    <w:rsid w:val="00E14F1E"/>
    <w:rsid w:val="00EF2D99"/>
    <w:rsid w:val="06C2E65D"/>
    <w:rsid w:val="2813FE26"/>
    <w:rsid w:val="28821090"/>
    <w:rsid w:val="411F4BA2"/>
    <w:rsid w:val="41D0F0C8"/>
    <w:rsid w:val="501CC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F40C"/>
  <w15:chartTrackingRefBased/>
  <w15:docId w15:val="{9956B2B4-98AB-4AF8-83EC-3A3CB5ED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C694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E5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938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der Niet</dc:creator>
  <cp:keywords/>
  <dc:description/>
  <cp:lastModifiedBy>Marjan van der Niet</cp:lastModifiedBy>
  <cp:revision>10</cp:revision>
  <dcterms:created xsi:type="dcterms:W3CDTF">2018-08-21T07:26:00Z</dcterms:created>
  <dcterms:modified xsi:type="dcterms:W3CDTF">2019-09-09T09:14:00Z</dcterms:modified>
</cp:coreProperties>
</file>